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8C23">
      <w:pPr>
        <w:spacing w:line="64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8AF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6EA23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“生命长江 生生不息——长江禁渔这五年”</w:t>
      </w:r>
    </w:p>
    <w:p w14:paraId="5B8F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成果展示大纲</w:t>
      </w:r>
    </w:p>
    <w:p w14:paraId="5185B16D">
      <w:pPr>
        <w:pStyle w:val="7"/>
        <w:adjustRightInd w:val="0"/>
        <w:snapToGrid w:val="0"/>
        <w:spacing w:beforeLines="0" w:afterLines="0"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（征求意见稿）</w:t>
      </w:r>
    </w:p>
    <w:p w14:paraId="085091A1">
      <w:pPr>
        <w:pStyle w:val="7"/>
        <w:adjustRightInd w:val="0"/>
        <w:snapToGrid w:val="0"/>
        <w:spacing w:beforeLines="0" w:afterLines="0"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AEE72C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展示采用“历史纵深—行动实践—成果展示—未来展望”的叙事逻辑，通过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（1）序厅·</w:t>
      </w:r>
      <w:r>
        <w:rPr>
          <w:rFonts w:hint="eastAsia" w:eastAsia="仿宋_GB2312" w:cs="仿宋_GB2312"/>
          <w:b/>
          <w:bCs/>
          <w:kern w:val="2"/>
          <w:sz w:val="32"/>
          <w:szCs w:val="32"/>
          <w:lang w:val="en-US" w:eastAsia="zh-CN" w:bidi="ar-SA"/>
        </w:rPr>
        <w:t>战略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决策、（2）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破浪前行·集中攻坚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、（3）科技赋能·</w:t>
      </w:r>
      <w:r>
        <w:rPr>
          <w:rFonts w:hint="eastAsia" w:eastAsia="仿宋_GB2312" w:cs="仿宋_GB2312"/>
          <w:b/>
          <w:bCs/>
          <w:kern w:val="2"/>
          <w:sz w:val="32"/>
          <w:szCs w:val="32"/>
          <w:lang w:val="en-US" w:eastAsia="zh-CN" w:bidi="ar-SA"/>
        </w:rPr>
        <w:t>联合执法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、（4）</w:t>
      </w:r>
      <w:r>
        <w:rPr>
          <w:rFonts w:hint="eastAsia" w:eastAsia="仿宋_GB2312" w:cs="仿宋_GB2312"/>
          <w:b/>
          <w:bCs/>
          <w:kern w:val="2"/>
          <w:sz w:val="32"/>
          <w:szCs w:val="32"/>
          <w:lang w:val="en-US" w:eastAsia="zh-CN" w:bidi="ar-SA"/>
        </w:rPr>
        <w:t>安置保障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·岸上新生、（5）</w:t>
      </w:r>
      <w:r>
        <w:rPr>
          <w:rFonts w:hint="eastAsia" w:eastAsia="仿宋_GB2312" w:cs="仿宋_GB2312"/>
          <w:b/>
          <w:bCs/>
          <w:kern w:val="2"/>
          <w:sz w:val="32"/>
          <w:szCs w:val="32"/>
          <w:lang w:val="en-US" w:eastAsia="zh-CN" w:bidi="ar-SA"/>
        </w:rPr>
        <w:t>保护修复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·生机重现、（6）渔舟唱晚·</w:t>
      </w:r>
      <w:r>
        <w:rPr>
          <w:rFonts w:hint="eastAsia" w:eastAsia="仿宋_GB2312" w:cs="仿宋_GB2312"/>
          <w:b/>
          <w:bCs/>
          <w:kern w:val="2"/>
          <w:sz w:val="32"/>
          <w:szCs w:val="32"/>
          <w:lang w:val="en-US" w:eastAsia="zh-CN" w:bidi="ar-SA"/>
        </w:rPr>
        <w:t>文化传承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、（7）尾厅·生生不息等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个章节串联长江禁渔“为何做、怎么做、做得如何、未来怎么做”，结合“权威数据+沉浸式体验+情感共鸣”设计，兼顾政策严谨性与公众吸引力。</w:t>
      </w:r>
    </w:p>
    <w:p w14:paraId="50F48655">
      <w:pPr>
        <w:widowControl/>
        <w:numPr>
          <w:ilvl w:val="0"/>
          <w:numId w:val="1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  <w:t>序厅·战略决策——国家战略的权威性呈现</w:t>
      </w:r>
    </w:p>
    <w:p w14:paraId="7856E8CD">
      <w:pPr>
        <w:wordWrap w:val="0"/>
        <w:overflowPunct/>
        <w:topLinePunct/>
        <w:adjustRightInd w:val="0"/>
        <w:snapToGrid w:val="0"/>
        <w:spacing w:beforeLines="0" w:afterLines="0" w:line="60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（一）展示内容</w:t>
      </w:r>
    </w:p>
    <w:p w14:paraId="2C1F53A8">
      <w:pPr>
        <w:wordWrap w:val="0"/>
        <w:overflowPunct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 长江禁渔决策时间轴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：梳理2016年以来习近平总书记关于长江大保护和长江十年禁渔的重要指示、关键会议、政策文件，明确禁渔决策的顶层设计逻辑。</w:t>
      </w:r>
    </w:p>
    <w:p w14:paraId="6D0F9FD1">
      <w:pPr>
        <w:wordWrap w:val="0"/>
        <w:overflowPunct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2. 长江生态与禁渔基础信息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简述长江“中国生态命脉”“淡水生物基因库”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生态地位，展示长江十年禁渔总体目标、禁捕水域划定依据与规模、涉及地区、退捕范围及其划定依据、退捕渔民渔船数量以及禁捕期限。</w:t>
      </w:r>
    </w:p>
    <w:p w14:paraId="1F34EBF9">
      <w:pPr>
        <w:numPr>
          <w:ilvl w:val="0"/>
          <w:numId w:val="0"/>
        </w:numPr>
        <w:wordWrap w:val="0"/>
        <w:overflowPunct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3. 核心数据锚点：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突出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2024年最新成果——长江流域水生生物完整性指数较2021年提升12%，以数据奠定生态改善基调。</w:t>
      </w:r>
    </w:p>
    <w:p w14:paraId="7E3B6372">
      <w:pPr>
        <w:numPr>
          <w:ilvl w:val="0"/>
          <w:numId w:val="0"/>
        </w:numPr>
        <w:wordWrap w:val="0"/>
        <w:overflowPunct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 多媒体背景：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循环播放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长江禁渔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汇报片、新闻联播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报道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片段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，浓缩政策背景与核心目标。</w:t>
      </w:r>
    </w:p>
    <w:p w14:paraId="270EB918">
      <w:pPr>
        <w:keepNext w:val="0"/>
        <w:keepLines w:val="0"/>
        <w:widowControl/>
        <w:suppressLineNumbers w:val="0"/>
        <w:wordWrap w:val="0"/>
        <w:topLinePunct/>
        <w:adjustRightInd w:val="0"/>
        <w:snapToGrid w:val="0"/>
        <w:spacing w:before="0" w:beforeLines="0" w:afterLines="0" w:line="60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（二）展示形式</w:t>
      </w:r>
    </w:p>
    <w:p w14:paraId="2DD67C5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topLinePunct/>
        <w:adjustRightInd w:val="0"/>
        <w:snapToGrid w:val="0"/>
        <w:spacing w:before="0"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highlight w:val="none"/>
        </w:rPr>
        <w:t>卷轴式展板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highlight w:val="none"/>
          <w:lang w:val="en-US" w:eastAsia="zh-CN"/>
        </w:rPr>
        <w:t>采用巨型卷轴设计，烫金文字呈现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highlight w:val="none"/>
        </w:rPr>
        <w:t>习近平总书记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highlight w:val="none"/>
          <w:lang w:eastAsia="zh-CN"/>
        </w:rPr>
        <w:t>重要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highlight w:val="none"/>
          <w:lang w:val="en-US" w:eastAsia="zh-CN"/>
        </w:rPr>
        <w:t>指示与关键决策，背景为长江流域水墨底图，增强庄重感</w:t>
      </w:r>
      <w:r>
        <w:rPr>
          <w:rFonts w:hint="eastAsia" w:eastAsia="仿宋_GB2312"/>
          <w:color w:val="auto"/>
          <w:kern w:val="2"/>
          <w:sz w:val="32"/>
          <w:szCs w:val="32"/>
          <w:highlight w:val="none"/>
          <w:lang w:val="en-US" w:eastAsia="zh-CN"/>
        </w:rPr>
        <w:t>与历史厚重感。</w:t>
      </w:r>
    </w:p>
    <w:p w14:paraId="1228B00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topLinePunct/>
        <w:adjustRightInd w:val="0"/>
        <w:snapToGrid w:val="0"/>
        <w:spacing w:before="0"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highlight w:val="none"/>
          <w:lang w:val="en-US" w:eastAsia="zh-CN"/>
        </w:rPr>
        <w:t>2. 交互式流域图：设置可触摸屏幕（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支持中/英双语切换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观众点击各省区域，可查看当地禁渔范围、退捕人数、休闲垂钓规定，同步播放省级禁渔成效短视频（每省1分钟）。</w:t>
      </w:r>
    </w:p>
    <w:p w14:paraId="46C72B7C">
      <w:pPr>
        <w:adjustRightInd w:val="0"/>
        <w:snapToGrid w:val="0"/>
        <w:spacing w:beforeLines="0" w:afterLines="0" w:line="600" w:lineRule="exact"/>
        <w:ind w:firstLine="643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（三）设计理念</w:t>
      </w:r>
    </w:p>
    <w:p w14:paraId="4B7F0A7A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3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以“国家战略”为核心，采用“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深蓝底色+烫金文字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”（深蓝象征长江的深邃与厚重，烫金凸显决策的重要性与历史性），关键指标与数据区域用“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红色底+金色字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强调，营造权威、庄重的开篇氛围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，让观众直观感受国家实施长江十年禁渔的决心与战略高度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B00EB52">
      <w:pPr>
        <w:widowControl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  <w:t>二、破浪前行·集中攻坚——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>政策落地的路径化呈现</w:t>
      </w:r>
    </w:p>
    <w:p w14:paraId="573B026D">
      <w:pPr>
        <w:keepNext w:val="0"/>
        <w:keepLines w:val="0"/>
        <w:widowControl/>
        <w:suppressLineNumbers w:val="0"/>
        <w:wordWrap w:val="0"/>
        <w:topLinePunct/>
        <w:adjustRightInd w:val="0"/>
        <w:snapToGrid w:val="0"/>
        <w:spacing w:beforeLines="0" w:afterLines="0"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（一）展示内容</w:t>
      </w:r>
    </w:p>
    <w:p w14:paraId="01A5FD9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1. 禁渔历史沿革：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以时间轴形式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梳理2020年禁捕退捕攻坚战启动至今的关键节点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，标注每个节点的核心任务与成果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78960C1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2. 部际协调机制：以流程图展示农业农村部（牵头）、公安部、市场监管总局等10余个部门的职责分工，展示联席会议、联合行动、联合发文、工作考核等工作形式，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呈现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攻坚战期间挂图作战、建档立卡等工作方法。</w:t>
      </w:r>
    </w:p>
    <w:p w14:paraId="2EBCB49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3. 政策法规支撑：陈列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《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中华人民共和国长江保护法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》《长江水生生物保护管理规定》等文件原文（扫描二维码可下载原文、观看普法短视频），重点标注法规中与禁渔直接相关的条款。</w:t>
      </w:r>
    </w:p>
    <w:p w14:paraId="3788601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4. 地方创新做法：重点展示重庆“河长+林长+检察长+警长”联动工作机制和江西九江“9+N”执法网络等省（直辖市）创新模式。</w:t>
      </w:r>
    </w:p>
    <w:p w14:paraId="7A66F34A">
      <w:pPr>
        <w:keepNext w:val="0"/>
        <w:keepLines w:val="0"/>
        <w:widowControl/>
        <w:suppressLineNumbers w:val="0"/>
        <w:wordWrap w:val="0"/>
        <w:topLinePunct/>
        <w:adjustRightInd w:val="0"/>
        <w:snapToGrid w:val="0"/>
        <w:spacing w:beforeLines="0" w:afterLines="0"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（二）展示形式</w:t>
      </w:r>
    </w:p>
    <w:p w14:paraId="226E9B46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1. 图文展板+案例墙：用时间轴呈现历史沿革，用彩色图标区分部分职责，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案例墙展示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地方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创新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模式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配实景照片（如重庆“四长”联合巡查现场）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及文字解读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7F210AF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2. 文件查阅终端：设置两台触控电脑，分类汇总国家及地方禁渔政策文件，支持关键词检索。</w:t>
      </w:r>
    </w:p>
    <w:p w14:paraId="4985C8C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3. 短视频展播：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循环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播放部际专班协同工作纪实、央视等国家媒体对相关部门负责人的采访，专家对工作机制的解读等视频。</w:t>
      </w:r>
    </w:p>
    <w:p w14:paraId="58CC4D65">
      <w:pPr>
        <w:keepNext w:val="0"/>
        <w:keepLines w:val="0"/>
        <w:widowControl/>
        <w:suppressLineNumbers w:val="0"/>
        <w:wordWrap w:val="0"/>
        <w:topLinePunct/>
        <w:adjustRightInd w:val="0"/>
        <w:snapToGrid w:val="0"/>
        <w:spacing w:beforeLines="0" w:afterLines="0"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（三）设计理念</w:t>
      </w:r>
    </w:p>
    <w:p w14:paraId="6D45FB9B">
      <w:pPr>
        <w:pStyle w:val="4"/>
        <w:adjustRightInd w:val="0"/>
        <w:snapToGrid w:val="0"/>
        <w:spacing w:beforeLines="0" w:afterLines="0" w:line="600" w:lineRule="exact"/>
        <w:ind w:left="0" w:leftChars="0" w:firstLine="640" w:firstLineChars="200"/>
        <w:rPr>
          <w:rFonts w:hint="default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以“清晰化、可视化”为原则，色调采用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浅蓝+灰色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（浅蓝呼应长江生态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主题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，灰色体现政策严谨性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与规范性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）。流程图与案例墙采用模块化设计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（可拆卸、可替换）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，便于后续巡展调整内容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，增强方案的灵活性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5CD7BEA5">
      <w:pPr>
        <w:widowControl/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  <w:t>三、科技赋能·联合执法——执法监管的科技化呈现</w:t>
      </w:r>
    </w:p>
    <w:p w14:paraId="1AF56353">
      <w:pPr>
        <w:widowControl/>
        <w:wordWrap w:val="0"/>
        <w:topLinePunct/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（一）展示内容</w:t>
      </w:r>
    </w:p>
    <w:p w14:paraId="6E4B274B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1. 执法创新举措：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介绍“水、陆、空”一体化监控网络（卫星遥感+无人机巡查+水上执法船+岸边电子围栏），可重点展示湖北“长江禁渔天网系统”及其他省（直辖市）信息化监管系统。</w:t>
      </w:r>
    </w:p>
    <w:p w14:paraId="50A8A3E8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2. “四清四无”行动成果：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展示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清船、清网、清江、清湖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的具体数据，附执法现场照片及典型地区（如长江口）对比照片。</w:t>
      </w:r>
    </w:p>
    <w:p w14:paraId="0F169C2F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3. 典型案例：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选取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2个跨区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域、有影响力的案例，如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江苏“2023年长江口非法拖网案”（查获渔获物5吨，涉案金额300万元）、渝桂黔“2.22非法捕捞案”（跨三省联合侦办，刑拘15人），详述案件查办流程与处罚结果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，附案件卷宗照片、执法记录仪片段。</w:t>
      </w:r>
    </w:p>
    <w:p w14:paraId="2D88B641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4. 执法装备与禁用渔具：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陈列无人机、执法记录仪、雷达监控屏等实物，展示常见禁用渔具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及其危害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（地笼、电鱼器等）。</w:t>
      </w:r>
    </w:p>
    <w:p w14:paraId="4DC571D7">
      <w:pPr>
        <w:pStyle w:val="4"/>
        <w:adjustRightInd w:val="0"/>
        <w:snapToGrid w:val="0"/>
        <w:spacing w:beforeLines="0" w:afterLines="0" w:line="600" w:lineRule="exact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展示形式</w:t>
      </w:r>
    </w:p>
    <w:p w14:paraId="69454B71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1. 实物展柜+设备体验：执法设备配操作说明牌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（标注型号、功能、使用场景）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，观众可近距离观察；设置“VR执法体验区”（2台设备，体验时长3分钟/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），模拟无人机巡查江面、识别非法渔船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、执法船现场处置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的流程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，增强沉浸式体验。</w:t>
      </w:r>
    </w:p>
    <w:p w14:paraId="157C198D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2. 3D动态演示：通过1.5m*3m弧形屏，动态演示“天网系统”工作流程（视频监控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AI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识别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异常→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自动推送预警信息至执法人员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→无人机抵近核查→执法船现场处置→电子围栏预警），配备讲解员同步解读。</w:t>
      </w:r>
    </w:p>
    <w:p w14:paraId="39215A30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3. 数据趋势图：用柱状图展示长江流域非法捕捞案件数量变化，直观呈现执法成效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，用折线图展示执法装备投入资金、数量增长趋势，体现科技赋能力度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48CE7C7F">
      <w:pPr>
        <w:pStyle w:val="4"/>
        <w:adjustRightInd w:val="0"/>
        <w:snapToGrid w:val="0"/>
        <w:spacing w:beforeLines="0" w:afterLines="0" w:line="600" w:lineRule="exact"/>
        <w:ind w:left="0" w:leftChars="0" w:firstLine="643" w:firstLineChars="200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（三）设计理念</w:t>
      </w:r>
    </w:p>
    <w:p w14:paraId="6990A619">
      <w:pPr>
        <w:pStyle w:val="4"/>
        <w:adjustRightInd w:val="0"/>
        <w:snapToGrid w:val="0"/>
        <w:spacing w:beforeLines="0" w:afterLines="0"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以“科技赋能+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联合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执法”为核心，色调采用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深灰+橙色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（深灰体现执法的严肃性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与权威性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，橙色作为警示色凸显“打击非法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捕捞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”的决心）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设备展区用金属质感展架，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搭配蓝色灯光，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增强科技感与专业度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；禁用渔具展区用红色警示边框，强化“禁止”信号，引导观众理解非法渔具的危害。</w:t>
      </w:r>
    </w:p>
    <w:p w14:paraId="14893961">
      <w:pPr>
        <w:widowControl/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  <w:t>四、安置保障·岸上新生——渔民转型的温度化呈现</w:t>
      </w:r>
    </w:p>
    <w:p w14:paraId="308975FD">
      <w:pPr>
        <w:pStyle w:val="4"/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（一）展示内容</w:t>
      </w:r>
    </w:p>
    <w:p w14:paraId="291B7DEF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1. 安置保障政策：以图表展示“就业培训+创业扶持+社会保障”三维保障体系，以及累计开展技能培训次数、发放各类型补贴金额、缴纳养老保险退捕渔民人数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、转产就业率、收入提高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等数据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，体现“退得出、稳得住、能致富”目标的实现情况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5CBF9E7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2. 转型前后对比：以马鞍山薛家洼为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典型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案例，通过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照片、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沙盘模型展示退捕前“连家船”生活场景与上岸后社区生活，附3户渔民家庭对比照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片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87B759E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3. 典型转型故事：聚焦三类转型方向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附渔民采访视频——（1）生态守护者（护渔员）；（2）产业创业者（学习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水产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养殖技术，加入合作社）；（3）服务从业者（退捕渔民上岸开民宿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，依托当地渔文化发展生态旅游增收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）。</w:t>
      </w:r>
    </w:p>
    <w:p w14:paraId="6DCE413A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4. 地方特色成果：例如展示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</w:rPr>
        <w:t>高淳固城湖大闸蟹养殖合作社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</w:rPr>
        <w:t>案例；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</w:rPr>
        <w:t>梁子湖武昌鱼加工产业链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</w:rPr>
        <w:t>实物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</w:rPr>
        <w:t>从渔民到民宿老板的转型故事。</w:t>
      </w:r>
    </w:p>
    <w:p w14:paraId="5A4F5123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展示形式</w:t>
      </w:r>
    </w:p>
    <w:p w14:paraId="511DCB41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1. 沙盘模型+照片墙：薛家洼沙盘配灯光讲解（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观众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按下按钮可切换“退捕前/后”场景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灯光，配合语言解说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），照片墙陈列20组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不同地区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渔民转型对比照，标注姓名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、所在地区、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转型职业。</w:t>
      </w:r>
    </w:p>
    <w:p w14:paraId="3B8ABAAD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2. 渔民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心声互动：设置“录音墙”（10个耳机接口），收录10位不同地区渔民的转型感言（如“从‘靠江吃江’到‘护江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养江’，日子更踏实了”），每段感言时长1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2分钟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5726684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</w:rPr>
        <w:t>产品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</w:rPr>
        <w:t>体验台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：摆放洞庭湖风干鱼、巫山“杂柑王”（</w:t>
      </w:r>
      <w:r>
        <w:rPr>
          <w:rFonts w:hint="eastAsia" w:eastAsia="仿宋_GB2312"/>
          <w:color w:val="000000"/>
          <w:kern w:val="2"/>
          <w:sz w:val="32"/>
          <w:szCs w:val="32"/>
          <w:highlight w:val="none"/>
          <w:lang w:val="en-US" w:eastAsia="zh-CN"/>
        </w:rPr>
        <w:t>退捕渔民转产种植的柑橘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），</w:t>
      </w:r>
      <w:r>
        <w:rPr>
          <w:rFonts w:hint="eastAsia" w:eastAsia="仿宋_GB2312"/>
          <w:color w:val="000000"/>
          <w:kern w:val="2"/>
          <w:sz w:val="32"/>
          <w:szCs w:val="32"/>
          <w:highlight w:val="none"/>
          <w:lang w:val="en-US" w:eastAsia="zh-CN"/>
        </w:rPr>
        <w:t>标注“非卖品、体验装”，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  <w:lang w:eastAsia="zh-CN"/>
        </w:rPr>
        <w:t>观众可免费品尝，现场设置渔民创业故事二维码（扫码查看完整案例）。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巡展期间根据地域特点</w:t>
      </w:r>
      <w:r>
        <w:rPr>
          <w:rFonts w:hint="eastAsia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替换为当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地</w:t>
      </w:r>
      <w:r>
        <w:rPr>
          <w:rFonts w:hint="eastAsia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退捕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渔民特色产品及衍生品。</w:t>
      </w:r>
    </w:p>
    <w:p w14:paraId="7E1C8C79">
      <w:pPr>
        <w:pStyle w:val="4"/>
        <w:numPr>
          <w:ilvl w:val="0"/>
          <w:numId w:val="0"/>
        </w:numPr>
        <w:tabs>
          <w:tab w:val="left" w:pos="0"/>
        </w:tabs>
        <w:adjustRightInd w:val="0"/>
        <w:snapToGrid w:val="0"/>
        <w:spacing w:beforeLines="0" w:afterLines="0" w:line="600" w:lineRule="exact"/>
        <w:ind w:left="0" w:leftChars="0"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（三）设计理念</w:t>
      </w:r>
    </w:p>
    <w:p w14:paraId="214DE2F9">
      <w:pPr>
        <w:pStyle w:val="4"/>
        <w:numPr>
          <w:ilvl w:val="0"/>
          <w:numId w:val="0"/>
        </w:numPr>
        <w:tabs>
          <w:tab w:val="left" w:pos="0"/>
        </w:tabs>
        <w:adjustRightInd w:val="0"/>
        <w:snapToGrid w:val="0"/>
        <w:spacing w:beforeLines="0" w:afterLines="0" w:line="600" w:lineRule="exact"/>
        <w:ind w:leftChars="0" w:firstLine="643"/>
        <w:jc w:val="left"/>
        <w:rPr>
          <w:rFonts w:hint="eastAsia" w:ascii="Times New Roman" w:hAnsi="Times New Roman" w:eastAsia="仿宋_GB2312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以“民生温度”为核心，色调采用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暖黄+绿色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（暖黄象征渔民生活的“新生与希望”，绿色呼应生态农业的可持续性）。展区设置木制展架与布艺装饰，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搭配渔民生活场景老物件，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营造温馨、贴近生活的氛围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，让观众通过真实故事感受渔民转型的获得感与幸福感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19624FF">
      <w:pPr>
        <w:widowControl/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  <w:t>五、保护修复·生机重现——生态修复的可视化呈现</w:t>
      </w:r>
    </w:p>
    <w:p w14:paraId="37044579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（一）展示内容</w:t>
      </w:r>
    </w:p>
    <w:p w14:paraId="0D7A4F35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1. 水生生物多样性恢复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：展示长江流域水生生物资源及生境总体状况、水生生物资源、重点保护物种、经济鱼类、栖息生境等，展示中华鲟、长江江豚等水生生物标本、照片和视频。</w:t>
      </w:r>
    </w:p>
    <w:p w14:paraId="6F349029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2. 水生生物完整性指数：以“数据墙”形式呈现3项核心指标的变化——水生生物完整性指数、江豚种群数量、水质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，以直观的图表形式呈现禁渔政策实施后的生态改善趋势。</w:t>
      </w:r>
    </w:p>
    <w:p w14:paraId="6C91C66A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3. 保护管理制度及重要保护行动：展示长江十年禁捕以来不断完善的保护措施和行动、如增殖放流、栖息地修复、连通性恢复等，巡展期间根据地域特点增加展览地流域生态及物种展区。</w:t>
      </w:r>
    </w:p>
    <w:p w14:paraId="2FEFA242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4. 科普资料展陈：陈列《长江鱼类图鉴》《生命长江》等出版物，播放科普动画（8分钟，适合青少年）。</w:t>
      </w:r>
    </w:p>
    <w:p w14:paraId="049F850E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（二）展示形式</w:t>
      </w:r>
    </w:p>
    <w:p w14:paraId="27116A6B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 xml:space="preserve"> 标本展柜+沉浸式体验：中华鲟、江豚标本配玻璃展柜（标注来源与保护级别），设置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360°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环形屏，观众站立中央可观看江豚嬉戏、中华鲟洄游的沉浸式视频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（循环播放），配合水声、鱼类游动音效，还原水下场景。</w:t>
      </w:r>
    </w:p>
    <w:p w14:paraId="6C623140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 xml:space="preserve"> 动态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数据墙：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展板左侧用文字说明核心指标及其意义，右侧用多媒体屏幕展示生态监测的动态数据，增强数据的直观性和说服力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。</w:t>
      </w:r>
    </w:p>
    <w:p w14:paraId="3E355660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3. 水族箱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设置水族箱模拟展示长江水生生物及其生境</w:t>
      </w:r>
      <w:r>
        <w:rPr>
          <w:rFonts w:hint="eastAsia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，水族箱旁设置“生态小课堂”提示牌，介绍鱼类对水质的指示作用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。</w:t>
      </w:r>
    </w:p>
    <w:p w14:paraId="618083FA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设计理念</w:t>
      </w:r>
    </w:p>
    <w:p w14:paraId="275218D5">
      <w:pPr>
        <w:pStyle w:val="8"/>
        <w:numPr>
          <w:ilvl w:val="0"/>
          <w:numId w:val="0"/>
        </w:numPr>
        <w:adjustRightInd w:val="0"/>
        <w:snapToGrid w:val="0"/>
        <w:spacing w:before="0" w:beforeLines="0" w:after="0" w:afterLines="0" w:line="600" w:lineRule="exact"/>
        <w:ind w:left="0"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以“生态复苏”为核心，色调采用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浅蓝+翠绿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浅蓝模拟江水，翠绿象征水生植物与生命活力）。展区顶部悬挂蓝色纱幔，配合白色、绿色灯光模拟水下光影效果，营造“水清岸绿，鱼翔浅底”的自然意境；地面铺设浅蓝色地胶，印有鱼类游动轨迹图案，增强空间沉浸感，让观众直观感受长江生态的恢复成果。</w:t>
      </w:r>
    </w:p>
    <w:p w14:paraId="33E71067">
      <w:pPr>
        <w:widowControl/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  <w:t>六、渔舟唱晚·文化传承——渔文化的传承式呈现</w:t>
      </w:r>
    </w:p>
    <w:p w14:paraId="53E48A1E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（一）展示内容</w:t>
      </w:r>
    </w:p>
    <w:p w14:paraId="15485842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1. 传统渔文化遗产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：陈列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传统渔具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（如竹排模型、手工渔网、传统钓具等）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，附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“渔具制作工艺解说牌”，如竹编鱼篓的“破竹—编织—定型”三步骤；播放江苏高淳渔歌、湖北洪湖渔鼓等音频（扫码）可听完整曲目；展示传统习俗，如“开渔节”的祭祀仪式、“渔火晚会”的歌舞庆典等，通过历史渔具实物、渔歌音像资料播放、传统捕鱼技艺图文解说，生动呈现千年渔猎智慧与习俗。</w:t>
      </w:r>
    </w:p>
    <w:p w14:paraId="7B7F0B99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2. 文化转型实践：展示禁渔政策实施后，渔民生活转型，渔文化在生态保护中焕发新生：昔日渔村转型为文化教育基地，老渔民化身非遗传承人，通过渔具展示、渔歌传唱等互动活动，将千年技艺融入现代可持续发展。</w:t>
      </w:r>
    </w:p>
    <w:p w14:paraId="3664243E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3. 文创产品与新载体：展示长江渔文化文创（如江豚造型玩偶、鱼类纹样丝巾、</w:t>
      </w:r>
      <w:r>
        <w:rPr>
          <w:rFonts w:hint="eastAsia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长江水生生物主题明信片等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），陈列《新长江之歌》歌词展板（附歌曲音频二维码），播放“渔三代”转型为“文化主播”的视频片段（如太湖边一名渔民子女在自家餐厅里，向顾客介绍餐厅里的门窗、装饰</w:t>
      </w:r>
      <w:r>
        <w:rPr>
          <w:rFonts w:hint="eastAsia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品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都是原来老渔船上拆卸下来的物件，原用途是什么</w:t>
      </w:r>
      <w:r>
        <w:rPr>
          <w:rFonts w:hint="eastAsia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，带动渔文化传播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）。</w:t>
      </w:r>
    </w:p>
    <w:p w14:paraId="70C861F3">
      <w:pPr>
        <w:pStyle w:val="4"/>
        <w:numPr>
          <w:ilvl w:val="0"/>
          <w:numId w:val="2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展示形式</w:t>
      </w:r>
    </w:p>
    <w:p w14:paraId="18E408A4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1. 实物展陈+音像体验：传统渔具配玻璃展柜，标注年代与用途；设置“渔歌试听区”（4套耳机），观众可佩戴耳机收听不同地区渔歌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，感受地域渔文化差异。</w:t>
      </w:r>
    </w:p>
    <w:p w14:paraId="1BE58816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2. 互动工作坊：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划分互动区域，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每天10:00—11:00、14:00—15:00 开展“鱼拓手工课”，提供长江鱼类拓印模型（中华鲟、胭脂鱼等）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、拓印纸、颜料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由非遗传承人或志愿者指导观众操作，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观众完成作品可带走。</w:t>
      </w:r>
    </w:p>
    <w:p w14:paraId="47991C62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3. “古今对话”投影：在2m×4m投影墙交替播放禁渔前“渔船满江”与禁渔后“生态渔村”的场景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照片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/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视频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，配合文字解说“从‘渔猎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谋生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’到‘文化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传承’，长江渔文化在保护中发展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”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，引导观众思考渔文化的转型意义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。</w:t>
      </w:r>
    </w:p>
    <w:p w14:paraId="0E1EE9B4">
      <w:pPr>
        <w:pStyle w:val="4"/>
        <w:numPr>
          <w:ilvl w:val="0"/>
          <w:numId w:val="2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设计理念</w:t>
      </w:r>
    </w:p>
    <w:p w14:paraId="47C58621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"/>
        </w:rPr>
        <w:t>以“文化传承”为核心，色调采用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棕褐+米白</w:t>
      </w: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"/>
        </w:rPr>
        <w:t>（棕褐象征木质渔船与传统渔具的</w:t>
      </w:r>
      <w:r>
        <w:rPr>
          <w:rFonts w:hint="eastAsia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"/>
        </w:rPr>
        <w:t>自然</w:t>
      </w: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"/>
        </w:rPr>
        <w:t>质感，米白体现渔文化的纯净与质朴）。展区采用麻绳、老船板装饰，</w:t>
      </w:r>
      <w:r>
        <w:rPr>
          <w:rFonts w:hint="eastAsia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"/>
        </w:rPr>
        <w:t>地面铺设仿木纹地胶，</w:t>
      </w: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"/>
        </w:rPr>
        <w:t>营造“怀旧而不失活力”的氛围</w:t>
      </w:r>
      <w:r>
        <w:rPr>
          <w:rFonts w:hint="eastAsia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"/>
        </w:rPr>
        <w:t>；文创展区用浅木色展架，搭配暖黄色灯光，</w:t>
      </w: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"/>
        </w:rPr>
        <w:t>突出“文化新生”的主题</w:t>
      </w:r>
      <w:r>
        <w:rPr>
          <w:rFonts w:hint="eastAsia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"/>
        </w:rPr>
        <w:t>，让观众感受渔文化在禁渔政策下的创新传承</w:t>
      </w: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69742204">
      <w:pPr>
        <w:widowControl/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  <w:t>七、尾厅·生生不息——未来展望的互动式呈现</w:t>
      </w:r>
    </w:p>
    <w:p w14:paraId="59055E3C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（一）展示内容</w:t>
      </w:r>
    </w:p>
    <w:p w14:paraId="7CE50512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1. 成果总结与未来方向：以“时间轴 + 图标”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形式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梳理五年禁渔核心成果（执法、民生、生态各项关键数据），明确未来五年重点任务。</w:t>
      </w:r>
    </w:p>
    <w:p w14:paraId="1FAD5755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2. 公共参与路径：展示“全民护江”3种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具体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方式——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（1）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志愿护渔（加入公益组织志愿者队伍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附志愿者报名二维码）；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科学放生（增殖放流参与指南）；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（3）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生态宣传（转发禁渔科普内容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，参与话题讨论，附话题二维码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）。</w:t>
      </w:r>
    </w:p>
    <w:p w14:paraId="6E63C6EC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3. 情感共鸣与行动感召：播放5分钟“长江禁渔五年纪实”短片（剪辑渔民笑脸、江豚跃出水面、执法人员巡查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、志愿者护江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等画面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，背景音乐用《长江之歌》片段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），结尾呈现“十年禁渔，为全局计、为子孙谋；守护长江，你我同行”标语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59D010B8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（二）展示形式</w:t>
      </w:r>
    </w:p>
    <w:p w14:paraId="1F3DA911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1. 互动打卡区：设置“长江生态拼图”装置（拼成长江各种水生生物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图案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），观众可参与拼接，完成后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图案游回长江（不同物种回到各自流域），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显示“守护长江，缺一不可”标语；设置展览标志造型区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（如长江流域+鱼形图案）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，每位参观者可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按下按钮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点亮一颗小红心，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屏幕实时显示累计点亮数量，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统计参观人数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，并提供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20个左右打卡手牌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（印有不同鱼类造型，“生命长江、生生不息”“我为长江禁渔点赞”等标语）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，供观众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拍照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打卡，扩大社交媒体传播。</w:t>
      </w:r>
    </w:p>
    <w:p w14:paraId="6B40403B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2. 电子留言墙：设置3m×2m触控屏，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支持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手写或语音输入观展感想，留言实时显示在屏幕上，支持分享至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微信、微博等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社交媒体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（生成专属分享海报）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2BA9D773">
      <w:pPr>
        <w:pStyle w:val="4"/>
        <w:numPr>
          <w:ilvl w:val="0"/>
          <w:numId w:val="0"/>
        </w:numPr>
        <w:wordWrap w:val="0"/>
        <w:topLinePunct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3. 儿童画作展区：陈列50幅“未来的长江”儿童画（面向北京中小学征集），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每幅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画作旁附作者一句话愿景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，设置“儿童留言本”（供观展儿童写下对长江的祝福）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4FB9A68F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（三）设计理念</w:t>
      </w:r>
    </w:p>
    <w:p w14:paraId="6D37D53B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bidi="ar"/>
        </w:rPr>
        <w:t>以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eastAsia="zh-CN" w:bidi="ar"/>
        </w:rPr>
        <w:t>“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bidi="ar"/>
        </w:rPr>
        <w:t>传承与接力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bidi="ar"/>
        </w:rPr>
        <w:t>为核心，色调采用</w:t>
      </w:r>
      <w:r>
        <w:rPr>
          <w:rFonts w:hint="eastAsia" w:ascii="Times New Roman" w:hAnsi="Times New Roman" w:eastAsia="仿宋_GB2312"/>
          <w:b/>
          <w:bCs/>
          <w:color w:val="000000"/>
          <w:kern w:val="2"/>
          <w:sz w:val="32"/>
          <w:szCs w:val="32"/>
          <w:highlight w:val="none"/>
          <w:lang w:bidi="ar"/>
        </w:rPr>
        <w:t>渐变蓝绿+白色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bidi="ar"/>
        </w:rPr>
        <w:t>渐变蓝绿象征长江生态的持续改善</w:t>
      </w:r>
      <w:r>
        <w:rPr>
          <w:rFonts w:hint="eastAsia" w:eastAsia="仿宋_GB2312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与生机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bidi="ar"/>
        </w:rPr>
        <w:t>，白色体现纯净与</w:t>
      </w:r>
      <w:r>
        <w:rPr>
          <w:rFonts w:hint="eastAsia" w:eastAsia="仿宋_GB2312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未来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bidi="ar"/>
        </w:rPr>
        <w:t>希望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eastAsia="zh-CN" w:bidi="ar"/>
        </w:rPr>
        <w:t>）。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展区顶部悬挂“生命之树”艺术装置（枝叶为长江鱼类造型</w:t>
      </w:r>
      <w:r>
        <w:rPr>
          <w:rFonts w:hint="eastAsia" w:eastAsia="仿宋_GB2312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，采用亚克力材质，内置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LED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灯</w:t>
      </w:r>
      <w:r>
        <w:rPr>
          <w:rFonts w:hint="eastAsia" w:eastAsia="仿宋_GB2312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，点亮后呈现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eastAsia="zh-CN" w:bidi="ar"/>
        </w:rPr>
        <w:t>“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bidi="ar"/>
        </w:rPr>
        <w:t>生生不息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eastAsia="zh-CN" w:bidi="ar"/>
        </w:rPr>
        <w:t>”</w:t>
      </w:r>
      <w:r>
        <w:rPr>
          <w:rFonts w:hint="eastAsia" w:eastAsia="仿宋_GB2312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的视觉效果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），强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bidi="ar"/>
        </w:rPr>
        <w:t>化主题</w:t>
      </w:r>
      <w:r>
        <w:rPr>
          <w:rFonts w:hint="eastAsia" w:eastAsia="仿宋_GB2312"/>
          <w:bCs w:val="0"/>
          <w:color w:val="000000"/>
          <w:kern w:val="2"/>
          <w:sz w:val="32"/>
          <w:szCs w:val="32"/>
          <w:highlight w:val="none"/>
          <w:lang w:eastAsia="zh-CN" w:bidi="ar"/>
        </w:rPr>
        <w:t>；</w:t>
      </w:r>
      <w:r>
        <w:rPr>
          <w:rFonts w:hint="eastAsia" w:eastAsia="仿宋_GB2312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地面铺设白色地胶，搭配蓝色、绿色线条（模拟长江水流轨迹），营造开阔、充满希望的氛围，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打造展览的情感收尾</w:t>
      </w:r>
      <w:r>
        <w:rPr>
          <w:rFonts w:hint="eastAsia" w:eastAsia="仿宋_GB2312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，激发观众参与护江的行动意愿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highlight w:val="none"/>
          <w:lang w:bidi="ar"/>
        </w:rPr>
        <w:t>。</w:t>
      </w:r>
    </w:p>
    <w:p w14:paraId="599838EC">
      <w:pPr>
        <w:widowControl/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6"/>
          <w:lang w:val="en-US" w:eastAsia="zh-CN" w:bidi="ar-SA"/>
        </w:rPr>
        <w:t>八、</w:t>
      </w:r>
      <w:r>
        <w:rPr>
          <w:rFonts w:hint="eastAsia" w:ascii="黑体" w:hAnsi="黑体" w:eastAsia="黑体" w:cs="黑体"/>
          <w:bCs w:val="0"/>
          <w:color w:val="000000"/>
          <w:kern w:val="0"/>
          <w:sz w:val="32"/>
          <w:szCs w:val="36"/>
          <w:highlight w:val="none"/>
          <w:lang w:val="en-US" w:eastAsia="zh-CN" w:bidi="ar-SA"/>
        </w:rPr>
        <w:t>十年禁渔看长江·视频展映区</w:t>
      </w:r>
    </w:p>
    <w:p w14:paraId="58C0D6DB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22" w:firstLineChars="200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展映安排</w:t>
      </w:r>
    </w:p>
    <w:p w14:paraId="608B33C6">
      <w:pPr>
        <w:pStyle w:val="4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分时段播放专题视频，每天6场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上午10点/下午2点播放《江豚・风时舞》电影片段（时长20分钟）；上午11点/下午3点播放《长江水生生物科普动画》（时长8分钟，适合青少年）。</w:t>
      </w:r>
    </w:p>
    <w:p w14:paraId="51E632E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adjustRightInd w:val="0"/>
        <w:snapToGrid w:val="0"/>
        <w:spacing w:beforeLines="0" w:afterLines="0" w:line="60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"/>
        </w:rPr>
        <w:t>（二）</w:t>
      </w: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设计理念</w:t>
      </w:r>
    </w:p>
    <w:p w14:paraId="0EB2426A">
      <w:pPr>
        <w:pStyle w:val="4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以“休憩+学习”为核心，营造轻松的氛围；色调采用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浅灰+淡绿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（浅灰为座椅颜色，淡绿为墙面颜色）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，搭配柔软座椅与绿植，缓解参观疲劳，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屏幕采用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高清LED屏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，声音通过壁挂式音响传播（音量适中，避免影响其他展区），让观众在休息中进一步了解长江禁渔成果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096007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FE1E2"/>
    <w:multiLevelType w:val="singleLevel"/>
    <w:tmpl w:val="978FE1E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5B888431"/>
    <w:multiLevelType w:val="singleLevel"/>
    <w:tmpl w:val="5B88843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B2425"/>
    <w:rsid w:val="19FB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after="0"/>
      <w:ind w:left="0" w:leftChars="0" w:firstLine="420" w:firstLineChars="200"/>
    </w:pPr>
    <w:rPr>
      <w:kern w:val="0"/>
      <w:sz w:val="2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2025-09-16T08:34:00Z</dcterms:created>
  <dc:creator>寄生草</dc:creator>
  <cp:lastModifiedBy>寄生草</cp:lastModifiedBy>
  <dcterms:modified xsi:type="dcterms:W3CDTF">2025-09-16T08:35:18Z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B6B2440A25B746D1970E5E99866E2751_11</vt:lpwstr>
  </property>
  <property fmtid="{D5CDD505-2E9C-101B-9397-08002B2CF9AE}" pid="4" name="KSOTemplateDocerSaveRecord">
    <vt:lpwstr>eyJoZGlkIjoiNzQ3ZjIzNDIzYjc3ZTkwMTYzYjliMjlhN2U0ZDlhZGMiLCJ1c2VySWQiOiIyNjI4MDc3NDEifQ==</vt:lpwstr>
  </property>
</Properties>
</file>